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Nb. Rupture</w:t>
      </w:r>
      <w:bookmarkEnd w:id="0"/>
    </w:p>
    <w:p>
      <w:pPr>
        <w:jc w:val="left"/>
      </w:pPr>
      <w:r>
        <w:rPr>
          <w:color w:val="red"/>
          <w:sz w:val="28"/>
          <w:szCs w:val="28"/>
          <w:b w:val="1"/>
          <w:bCs w:val="1"/>
        </w:rPr>
        <w:t xml:space="preserve">11</w:t>
      </w:r>
    </w:p>
    <w:p>
      <w:pPr>
        <w:pStyle w:val="Heading1"/>
      </w:pPr>
      <w:bookmarkStart w:id="1" w:name="_Toc1"/>
      <w:r>
        <w:t>Vente +</w:t>
      </w:r>
      <w:bookmarkEnd w:id="1"/>
    </w:p>
    <w:p>
      <w:pPr>
        <w:pStyle w:val="Heading1"/>
      </w:pPr>
      <w:bookmarkStart w:id="2" w:name="_Toc2"/>
      <w:r>
        <w:t>Alerte</w:t>
      </w:r>
      <w:bookmarkEnd w:id="2"/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(2)DRAVA 塑料沙拉碗 中东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(4)Lucart  纸巾类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(5)GARCIA 重要</w:t>
      </w:r>
    </w:p>
    <w:p>
      <w:pPr>
        <w:numPr>
          <w:ilvl w:val="1"/>
          <w:numId w:val="3"/>
        </w:numPr>
      </w:pPr>
      <w:r>
        <w:rPr/>
        <w:t xml:space="preserve">rouge (85)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(7)SABERT SUGAR CANE</w:t>
      </w:r>
    </w:p>
    <w:p>
      <w:pPr>
        <w:numPr>
          <w:ilvl w:val="1"/>
          <w:numId w:val="3"/>
        </w:numPr>
      </w:pPr>
      <w:r>
        <w:rPr/>
        <w:t xml:space="preserve">rouge (8)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(8)ATTIS 重要</w:t>
      </w:r>
    </w:p>
    <w:p>
      <w:pPr>
        <w:numPr>
          <w:ilvl w:val="1"/>
          <w:numId w:val="3"/>
        </w:numPr>
      </w:pPr>
      <w:r>
        <w:rPr/>
        <w:t xml:space="preserve">rouge (11)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3* FUJIAN HQUALY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BARBIER 不是一次性</w:t>
      </w:r>
    </w:p>
    <w:p>
      <w:pPr>
        <w:numPr>
          <w:ilvl w:val="1"/>
          <w:numId w:val="3"/>
        </w:numPr>
      </w:pPr>
      <w:r>
        <w:rPr/>
        <w:t xml:space="preserve">rouge (22)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BEFOR 不是一次性  机器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BROSSERIE HYGIENE</w:t>
      </w:r>
    </w:p>
    <w:p>
      <w:pPr>
        <w:numPr>
          <w:ilvl w:val="1"/>
          <w:numId w:val="3"/>
        </w:numPr>
      </w:pPr>
      <w:r>
        <w:rPr/>
        <w:t xml:space="preserve">rouge (9)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CONTITAL 餐盒 一次性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EMBACO</w:t>
      </w:r>
    </w:p>
    <w:p>
      <w:pPr>
        <w:numPr>
          <w:ilvl w:val="1"/>
          <w:numId w:val="3"/>
        </w:numPr>
      </w:pPr>
      <w:r>
        <w:rPr/>
        <w:t xml:space="preserve">rouge (6)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ETIQ ETAL 不是一次性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hfx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Huangshan Jiehui Paper Products Co.,Ltd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LACOR 不是一次性</w:t>
      </w:r>
    </w:p>
    <w:p>
      <w:pPr>
        <w:numPr>
          <w:ilvl w:val="1"/>
          <w:numId w:val="3"/>
        </w:numPr>
      </w:pPr>
      <w:r>
        <w:rPr/>
        <w:t xml:space="preserve">rouge (5)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louis TELLIER HYGIENE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MP HYGIENE  HYGIENE</w:t>
      </w:r>
    </w:p>
    <w:p>
      <w:pPr>
        <w:numPr>
          <w:ilvl w:val="1"/>
          <w:numId w:val="3"/>
        </w:numPr>
      </w:pPr>
      <w:r>
        <w:rPr/>
        <w:t xml:space="preserve">rouge (1)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SONAREMA FONDEX  不是一次性 机器</w:t>
      </w:r>
    </w:p>
    <w:p>
      <w:pPr>
        <w:numPr>
          <w:ilvl w:val="1"/>
          <w:numId w:val="3"/>
        </w:numPr>
      </w:pPr>
      <w:r>
        <w:rPr/>
        <w:t xml:space="preserve">rouge (3)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VFC  101 Trading (IDF ESPRESSO)</w:t>
      </w:r>
    </w:p>
    <w:p>
      <w:pPr>
        <w:numPr>
          <w:ilvl w:val="1"/>
          <w:numId w:val="3"/>
        </w:numPr>
      </w:pPr>
      <w:r>
        <w:rPr/>
        <w:t xml:space="preserve">rouge (2) Contrôler limité qté ? Emprunt HK ? Dépannage ?</w:t>
      </w:r>
    </w:p>
    <w:p>
      <w:pPr>
        <w:numPr>
          <w:ilvl w:val="0"/>
          <w:numId w:val="3"/>
        </w:numPr>
      </w:pPr>
      <w:r>
        <w:rPr>
          <w:sz w:val="22"/>
          <w:szCs w:val="22"/>
        </w:rPr>
        <w:t xml:space="preserve">VP</w:t>
      </w:r>
    </w:p>
    <w:p>
      <w:pPr>
        <w:numPr>
          <w:ilvl w:val="1"/>
          <w:numId w:val="3"/>
        </w:numPr>
      </w:pPr>
      <w:r>
        <w:rPr/>
        <w:t xml:space="preserve">rouge (11) Contrôler limité qté ? Emprunt HK ? Dépannage ?</w:t>
      </w:r>
    </w:p>
    <w:p>
      <w:pPr>
        <w:pStyle w:val="Heading1"/>
      </w:pPr>
      <w:bookmarkStart w:id="3" w:name="_Toc3"/>
      <w:r>
        <w:t>En cours</w:t>
      </w:r>
      <w:bookmarkEnd w:id="3"/>
    </w:p>
    <w:tbl>
      <w:tblGrid>
        <w:gridCol w:w="7000" w:type="dxa"/>
        <w:gridCol w:w="1000" w:type="dxa"/>
        <w:gridCol w:w="1800" w:type="dxa"/>
        <w:gridCol w:w="1500" w:type="dxa"/>
      </w:tblGrid>
      <w:tblPr>
        <w:tblStyle w:val="table_1"/>
      </w:tblPr>
      <w:tr>
        <w:trPr>
          <w:trHeight w:val="300" w:hRule="atLeast"/>
        </w:trPr>
        <w:tc>
          <w:tcPr>
            <w:tcW w:w="7000" w:type="dxa"/>
            <w:noWrap/>
          </w:tcPr>
          <w:p>
            <w:pPr>
              <w:jc w:val="left"/>
            </w:pPr>
            <w:r>
              <w:rPr/>
              <w:t xml:space="preserve">Fabricant</w:t>
            </w:r>
          </w:p>
        </w:tc>
        <w:tc>
          <w:tcPr>
            <w:tcW w:w="1000" w:type="dxa"/>
            <w:noWrap/>
          </w:tcPr>
          <w:p>
            <w:pPr>
              <w:jc w:val="left"/>
            </w:pPr>
            <w:r>
              <w:rPr/>
              <w:t xml:space="preserve">N°</w:t>
            </w:r>
          </w:p>
        </w:tc>
        <w:tc>
          <w:tcPr>
            <w:tcW w:w="1800" w:type="dxa"/>
            <w:noWrap/>
          </w:tcPr>
          <w:p>
            <w:pPr>
              <w:jc w:val="left"/>
            </w:pPr>
            <w:r>
              <w:rPr/>
              <w:t xml:space="preserve">étape</w:t>
            </w:r>
          </w:p>
        </w:tc>
        <w:tc>
          <w:tcPr>
            <w:tcW w:w="1500" w:type="dxa"/>
            <w:noWrap/>
          </w:tcPr>
          <w:p>
            <w:pPr>
              <w:jc w:val="left"/>
            </w:pPr>
            <w:r>
              <w:rPr/>
              <w:t xml:space="preserve">date</w:t>
            </w:r>
          </w:p>
        </w:tc>
      </w:tr>
      <w:tr>
        <w:trPr/>
        <w:tc>
          <w:tcPr>
            <w:tcW w:w="7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jc w:val="left"/>
      </w:pPr>
      <w:r>
        <w:rPr>
          <w:sz w:val="22"/>
          <w:szCs w:val="22"/>
        </w:rPr>
        <w:t xml:space="preserve">Vérifier si y a des commandes non terminées ?</w:t>
      </w:r>
    </w:p>
    <w:p>
      <w:pPr>
        <w:pStyle w:val="Heading1"/>
      </w:pPr>
      <w:bookmarkStart w:id="4" w:name="_Toc4"/>
      <w:r>
        <w:t>Sous contrôle</w:t>
      </w:r>
      <w:bookmarkEnd w:id="4"/>
    </w:p>
    <w:p>
      <w:pPr>
        <w:jc w:val="left"/>
      </w:pPr>
      <w:r>
        <w:rPr>
          <w:sz w:val="22"/>
          <w:szCs w:val="22"/>
        </w:rPr>
        <w:t xml:space="preserve">Rouge () Modifier les qté à limiter ?</w:t>
      </w:r>
    </w:p>
    <w:p>
      <w:pPr>
        <w:jc w:val="left"/>
      </w:pPr>
      <w:r>
        <w:rPr>
          <w:sz w:val="22"/>
          <w:szCs w:val="22"/>
        </w:rPr>
        <w:t xml:space="preserve">Autre si modifier les autres réf ? </w:t>
      </w:r>
    </w:p>
    <w:p>
      <w:pPr>
        <w:pStyle w:val="Heading1"/>
      </w:pPr>
      <w:bookmarkStart w:id="5" w:name="_Toc5"/>
      <w:r>
        <w:t>Décalage jour</w:t>
      </w:r>
      <w:bookmarkEnd w:id="5"/>
    </w:p>
    <w:p>
      <w:pPr>
        <w:numPr>
          <w:ilvl w:val="0"/>
          <w:numId w:val="3"/>
        </w:numPr>
      </w:pPr>
      <w:r>
        <w:rPr/>
        <w:t xml:space="preserve">1ère commande : Vérifier si tout est traité ?</w:t>
      </w:r>
    </w:p>
    <w:p>
      <w:pPr>
        <w:numPr>
          <w:ilvl w:val="0"/>
          <w:numId w:val="3"/>
        </w:numPr>
      </w:pPr>
      <w:r>
        <w:rPr/>
        <w:t xml:space="preserve">Autres commandes : 1  S’il faut ajouter dans les commandes ? 2  S’il faut avancer la livraison ?</w:t>
      </w:r>
    </w:p>
    <w:sectPr>
      <w:pgSz w:orient="portrait" w:w="11905.511811023622" w:h="16837.79527559055"/>
      <w:pgMar w:top="400" w:right="300" w:bottom="400" w:left="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3F8C7A"/>
    <w:multiLevelType w:val="multilevel"/>
    <w:lvl w:ilvl="0">
      <w:start w:val="1"/>
      <w:numFmt w:val="decimal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numFmt w:val="decimal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numFmt w:val="decimal"/>
      <w:pStyle w:val="Heading3"/>
      <w:suff w:val="tab"/>
      <w:pPr>
        <w:tabs>
          <w:tab w:val="num"/>
        </w:tabs>
        <w:ind/>
      </w:pPr>
      <w:rPr>
        <w:rFonts/>
      </w:rPr>
    </w:lvl>
  </w:abstractNum>
  <w:abstractNum w:abstractNumId="3">
    <w:nsid w:val="10294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IN Condensed" w:hAnsi="DIN Condensed" w:eastAsia="DIN Condensed" w:cs="DIN Condensed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left"/>
      <w:numPr>
        <w:numId w:val="1"/>
        <w:ilvl w:val="0"/>
      </w:numPr>
      <w:outlineLvl w:val="0"/>
    </w:pPr>
    <w:rPr>
      <w:sz w:val="28"/>
      <w:szCs w:val="28"/>
      <w:b w:val="1"/>
      <w:bCs w:val="1"/>
    </w:rPr>
  </w:style>
  <w:style w:type="table" w:customStyle="1" w:styleId="table_1">
    <w:name w:val="table_1"/>
    <w:uiPriority w:val="99"/>
    <w:tblPr>
      <w:jc w:val="left"/>
      <w:tblW w:w="0" w:type="auto"/>
      <w:tblLayout w:type="autofit"/>
      <w:tblBorders>
        <w:top w:val="single" w:sz="6" w:color="#000"/>
        <w:left w:val="single" w:sz="6" w:color="#000"/>
        <w:right w:val="single" w:sz="6" w:color="#000"/>
        <w:bottom w:val="single" w:sz="6" w:color="#000"/>
        <w:insideH w:val="single" w:sz="6" w:color="#000"/>
        <w:insideV w:val="single" w:sz="6" w:color="#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2024-11-29T09:59:03+01:00</dcterms:created>
  <dcterms:modified xsi:type="dcterms:W3CDTF">2024-11-29T09:59:03+01:00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